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1C" w:rsidRPr="00BF2BF0" w:rsidRDefault="00F82FE0" w:rsidP="003A3D1C">
      <w:pPr>
        <w:pStyle w:val="pphead1"/>
        <w:rPr>
          <w:rFonts w:ascii="Arial" w:hAnsi="Arial" w:cs="Arial"/>
          <w:noProof w:val="0"/>
          <w:color w:val="F79646" w:themeColor="accent6"/>
          <w:sz w:val="60"/>
          <w:szCs w:val="60"/>
        </w:rPr>
      </w:pPr>
      <w:bookmarkStart w:id="0" w:name="_GoBack"/>
      <w:bookmarkEnd w:id="0"/>
      <w:r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>Nutrition</w:t>
      </w:r>
      <w:r w:rsidR="00BF2BF0">
        <w:rPr>
          <w:rFonts w:ascii="Arial" w:hAnsi="Arial" w:cs="Arial"/>
          <w:noProof w:val="0"/>
          <w:color w:val="F79646" w:themeColor="accent6"/>
          <w:sz w:val="60"/>
          <w:szCs w:val="60"/>
        </w:rPr>
        <w:t xml:space="preserve"> </w:t>
      </w:r>
      <w:r w:rsidR="00157F01"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>&amp;</w:t>
      </w:r>
      <w:r w:rsidR="00EA1F14"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 xml:space="preserve"> Food Safety</w:t>
      </w:r>
    </w:p>
    <w:p w:rsidR="00620BC8" w:rsidRPr="009C155A" w:rsidRDefault="00620BC8" w:rsidP="003A3D1C">
      <w:pPr>
        <w:pStyle w:val="pphead2"/>
        <w:rPr>
          <w:rFonts w:ascii="Arial" w:hAnsi="Arial" w:cs="Arial"/>
          <w:b/>
          <w:noProof w:val="0"/>
          <w:color w:val="000000" w:themeColor="text1"/>
          <w:sz w:val="22"/>
          <w:szCs w:val="22"/>
        </w:rPr>
      </w:pPr>
    </w:p>
    <w:p w:rsidR="003A3D1C" w:rsidRPr="00BF2BF0" w:rsidRDefault="00F82FE0" w:rsidP="003A3D1C">
      <w:pPr>
        <w:pStyle w:val="pphead2"/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</w:pPr>
      <w:r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POLICY STATEMENT</w:t>
      </w:r>
      <w:r w:rsidR="00E7233C"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:</w:t>
      </w:r>
    </w:p>
    <w:p w:rsidR="003A3D1C" w:rsidRPr="009C155A" w:rsidRDefault="00C135EF" w:rsidP="003A3D1C">
      <w:pPr>
        <w:pStyle w:val="pptext"/>
        <w:rPr>
          <w:rFonts w:ascii="Arial" w:hAnsi="Arial" w:cs="Arial"/>
          <w:i/>
          <w:noProof w:val="0"/>
          <w:color w:val="000000" w:themeColor="text1"/>
          <w:sz w:val="22"/>
          <w:szCs w:val="22"/>
        </w:rPr>
      </w:pPr>
      <w:r>
        <w:rPr>
          <w:rFonts w:ascii="Arial" w:hAnsi="Arial" w:cs="Arial"/>
          <w:noProof w:val="0"/>
          <w:color w:val="000000" w:themeColor="text1"/>
          <w:sz w:val="22"/>
          <w:szCs w:val="22"/>
        </w:rPr>
        <w:t>The Nanyima Centre Inc.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believes that good nutrition is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essential for each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child’s healthy growth and development. For this reason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,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the service will provide nutritious, good quality food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that is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consistent with the 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 xml:space="preserve">Dietary Guidelines for Children and Young People in Australia.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We will aim to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provide </w:t>
      </w:r>
      <w:r w:rsidR="00620BC8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relaxed and enjoyable environment for children to eat their meals and snacks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1.1). All food served at the service will be consistent with the child’s own dietary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requirements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, and take into consideration the children’s like and dislikes as well as meet any cultural requirements of families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</w:t>
      </w:r>
      <w:r w:rsidR="00E7233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”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3.2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). High standards of hygiene will be maintained throughout all food preparation.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We will encourage the development of the children’s good eating habits through the modelling and reinforcing of healthy eating and nutrition</w:t>
      </w:r>
      <w:r w:rsidR="00E92D84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practices by e</w:t>
      </w:r>
      <w:r w:rsidR="003C482E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ducators. Families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will be encourag</w:t>
      </w:r>
      <w:r w:rsidR="003C482E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ed to share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recipes and traditions to enrich the variety and enjoyment of food by the children and support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the children’s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development of respect for and understanding of diversity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1.3). Where possible we will seek out opportunities to learn about growing our own food and collaborate with children to produce our own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opportunities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to use food we have grown ourselves in our menu planning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3.4).</w:t>
      </w:r>
    </w:p>
    <w:p w:rsidR="00E7233C" w:rsidRPr="009C155A" w:rsidRDefault="00E7233C" w:rsidP="003A3D1C">
      <w:pPr>
        <w:pStyle w:val="pphead2"/>
        <w:rPr>
          <w:rFonts w:ascii="Arial" w:hAnsi="Arial" w:cs="Arial"/>
          <w:b/>
          <w:noProof w:val="0"/>
          <w:color w:val="000000" w:themeColor="text1"/>
          <w:sz w:val="24"/>
          <w:szCs w:val="24"/>
        </w:rPr>
      </w:pPr>
    </w:p>
    <w:p w:rsidR="00EA1F14" w:rsidRPr="00BF2BF0" w:rsidRDefault="00F82FE0" w:rsidP="003A3D1C">
      <w:pPr>
        <w:pStyle w:val="pphead2"/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</w:pPr>
      <w:r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PROCEDURE</w:t>
      </w:r>
      <w:r w:rsidR="00E7233C"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:</w:t>
      </w:r>
    </w:p>
    <w:p w:rsidR="00EA1F14" w:rsidRPr="00157F01" w:rsidRDefault="00EA1F14" w:rsidP="00157F01">
      <w:pPr>
        <w:pStyle w:val="pphead2"/>
        <w:numPr>
          <w:ilvl w:val="0"/>
          <w:numId w:val="5"/>
        </w:numPr>
        <w:ind w:left="360"/>
        <w:rPr>
          <w:rFonts w:ascii="Arial" w:hAnsi="Arial" w:cs="Arial"/>
          <w:b/>
          <w:noProof w:val="0"/>
          <w:color w:val="000000" w:themeColor="text1"/>
          <w:sz w:val="24"/>
          <w:szCs w:val="24"/>
        </w:rPr>
      </w:pP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 xml:space="preserve"> Nutrition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 menu</w:t>
      </w:r>
      <w:r w:rsidR="00EA1F14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,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developed using the principles set out in the Australian Dietary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Guidelines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for Children and Adolescents, will be on display for families and children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at all times and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be an accurate representation of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the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food and drink that is being served. 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All children’s individual needs such as allergies, cultural requirements, and health needs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etc.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will be ad</w:t>
      </w:r>
      <w:r w:rsidR="003C482E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dressed in the menus and families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advised if they will be required to supply specific foods for their child.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Food and drink consistent with the 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>menu</w:t>
      </w:r>
      <w:r w:rsidR="00C135EF">
        <w:rPr>
          <w:rFonts w:ascii="Arial" w:hAnsi="Arial" w:cs="Arial"/>
          <w:noProof w:val="0"/>
          <w:color w:val="000000" w:themeColor="text1"/>
          <w:szCs w:val="22"/>
        </w:rPr>
        <w:t xml:space="preserve">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will be provided for morning and afternoon tea as well as small nutritious snacks available as necessary.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Fresh drinking water will be available at all times for the children and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</w:t>
      </w:r>
      <w:r w:rsidR="00653E1F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ducators.</w:t>
      </w:r>
    </w:p>
    <w:p w:rsidR="003A3D1C" w:rsidRPr="009C155A" w:rsidRDefault="003C482E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 and familie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s will be encouraged to share family and cultural traditions, ideas and recipes to contribute to the menu. 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ab/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ab/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Education of healthy eating habits will be developed through ongoing example, specific activities, notices, posters a</w:t>
      </w:r>
      <w:r w:rsidR="003C482E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nd information sheets to families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The denial of food will never be used as a punishment.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Children’s cooking activities will be encouraged to develop life skills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3A3D1C" w:rsidRPr="009C155A" w:rsidRDefault="00653E1F" w:rsidP="00E7233C">
      <w:pPr>
        <w:pStyle w:val="ppindenttext"/>
        <w:numPr>
          <w:ilvl w:val="0"/>
          <w:numId w:val="2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Educators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are required to attend regular professional development on nutrition and food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safety practices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and document changes to practice as a result.</w:t>
      </w:r>
    </w:p>
    <w:p w:rsidR="009C155A" w:rsidRPr="009C155A" w:rsidRDefault="009C155A" w:rsidP="009C155A">
      <w:pPr>
        <w:pStyle w:val="ppindenttext"/>
        <w:ind w:left="0"/>
        <w:rPr>
          <w:rFonts w:ascii="Arial" w:hAnsi="Arial" w:cs="Arial"/>
          <w:noProof w:val="0"/>
          <w:color w:val="000000" w:themeColor="text1"/>
          <w:szCs w:val="22"/>
        </w:rPr>
      </w:pPr>
    </w:p>
    <w:p w:rsidR="009C155A" w:rsidRPr="00157F01" w:rsidRDefault="009C155A" w:rsidP="00157F01">
      <w:pPr>
        <w:pStyle w:val="ppindenttext"/>
        <w:tabs>
          <w:tab w:val="left" w:pos="360"/>
        </w:tabs>
        <w:ind w:left="360" w:hanging="360"/>
        <w:rPr>
          <w:rStyle w:val="SMALLSUBHEADER"/>
          <w:rFonts w:ascii="Arial" w:hAnsi="Arial" w:cs="Arial"/>
          <w:caps w:val="0"/>
          <w:noProof w:val="0"/>
          <w:color w:val="000000" w:themeColor="text1"/>
          <w:sz w:val="24"/>
          <w:szCs w:val="24"/>
        </w:rPr>
      </w:pP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 xml:space="preserve">b) </w:t>
      </w: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ab/>
        <w:t>Food Safety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All food will be prepared and stored in a hygienic manner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as per the current Australian New Zealand Food Standards.</w:t>
      </w:r>
    </w:p>
    <w:p w:rsidR="00B929FC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Opened f</w:t>
      </w:r>
      <w:r w:rsidR="00B929F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ood will be stored in tightly sealed containers, away from any chemicals.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Kitchen equipment will to be cleaned and stored appropriately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Surfaces a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re cleaned and sanitised before and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after food preparation.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All perishable foods will be stored in the refrigerator and the temperature should be monitored to ensure it is less than 5ºC,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Children will be encouraged not to share their drinking and eating utensils.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Tongs and spoons will be used for the s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erving of food. Where possible, e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>ducators will enco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urage children to serve their own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food and drinks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 xml:space="preserve"> to encourage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the 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development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of their food handling skills as well as acknowledging their growing sense of independence.</w:t>
      </w:r>
    </w:p>
    <w:p w:rsidR="00B929FC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All cups, plates and utensils will be washed in hot, soapy water.</w:t>
      </w:r>
    </w:p>
    <w:p w:rsidR="00A83629" w:rsidRPr="00A83629" w:rsidRDefault="00A83629" w:rsidP="00A83629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 should be seated while eating or drinking.</w:t>
      </w:r>
    </w:p>
    <w:p w:rsidR="00B929FC" w:rsidRPr="009C155A" w:rsidRDefault="00B929FC" w:rsidP="009C15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20" w:lineRule="atLeas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155A">
        <w:rPr>
          <w:rFonts w:ascii="Arial" w:hAnsi="Arial" w:cs="Arial"/>
          <w:color w:val="000000" w:themeColor="text1"/>
          <w:sz w:val="22"/>
          <w:szCs w:val="22"/>
        </w:rPr>
        <w:t xml:space="preserve">Educators 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 xml:space="preserve">can choose whether to wear gloves or not provided that effective hand washing is being implemented. 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>If gloves are used, care must be taken to avoid contaminating food by only using them for one continuous task and then discarding them. Gloves must be removed, discarded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>, hands washed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 xml:space="preserve">the gloves 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>replaced with a new pair before handling food and before working with ready to eat food after handling raw food.</w:t>
      </w:r>
    </w:p>
    <w:p w:rsidR="00B929FC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>
        <w:rPr>
          <w:rFonts w:ascii="Arial" w:hAnsi="Arial" w:cs="Arial"/>
          <w:noProof w:val="0"/>
          <w:color w:val="000000" w:themeColor="text1"/>
          <w:szCs w:val="22"/>
        </w:rPr>
        <w:t xml:space="preserve">Gloves must be removed and </w:t>
      </w:r>
      <w:r w:rsidR="00B929FC" w:rsidRPr="009C155A">
        <w:rPr>
          <w:rFonts w:ascii="Arial" w:hAnsi="Arial" w:cs="Arial"/>
          <w:noProof w:val="0"/>
          <w:color w:val="000000" w:themeColor="text1"/>
          <w:szCs w:val="22"/>
        </w:rPr>
        <w:t xml:space="preserve">discarded </w:t>
      </w:r>
      <w:r>
        <w:rPr>
          <w:rFonts w:ascii="Arial" w:hAnsi="Arial" w:cs="Arial"/>
          <w:noProof w:val="0"/>
          <w:color w:val="000000" w:themeColor="text1"/>
          <w:szCs w:val="22"/>
        </w:rPr>
        <w:t xml:space="preserve">before </w:t>
      </w:r>
      <w:r w:rsidR="00B929FC" w:rsidRPr="009C155A">
        <w:rPr>
          <w:rFonts w:ascii="Arial" w:hAnsi="Arial" w:cs="Arial"/>
          <w:noProof w:val="0"/>
          <w:color w:val="000000" w:themeColor="text1"/>
          <w:szCs w:val="22"/>
        </w:rPr>
        <w:t>using the toilet, smoking, coughing, sneezing, using a handkerchief, eating, drinking or touching the hair, scalp or body.</w:t>
      </w:r>
      <w:r>
        <w:rPr>
          <w:rFonts w:ascii="Arial" w:hAnsi="Arial" w:cs="Arial"/>
          <w:noProof w:val="0"/>
          <w:color w:val="000000" w:themeColor="text1"/>
          <w:szCs w:val="22"/>
        </w:rPr>
        <w:t xml:space="preserve"> They will then be replaced if food preparation continues.</w:t>
      </w:r>
    </w:p>
    <w:p w:rsidR="009C155A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All rubbish or </w:t>
      </w:r>
      <w:r w:rsidR="00C135EF" w:rsidRPr="009C155A">
        <w:rPr>
          <w:rFonts w:ascii="Arial" w:hAnsi="Arial" w:cs="Arial"/>
          <w:noProof w:val="0"/>
          <w:color w:val="000000" w:themeColor="text1"/>
          <w:szCs w:val="22"/>
        </w:rPr>
        <w:t>leftover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food is to be disposed of immediately in lidded bins and 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bins emptied</w:t>
      </w:r>
      <w:r w:rsidR="00C135EF">
        <w:rPr>
          <w:rFonts w:ascii="Arial" w:hAnsi="Arial" w:cs="Arial"/>
          <w:noProof w:val="0"/>
          <w:color w:val="000000" w:themeColor="text1"/>
          <w:szCs w:val="22"/>
        </w:rPr>
        <w:t xml:space="preserve"> </w:t>
      </w:r>
      <w:r w:rsidR="009C155A">
        <w:rPr>
          <w:rFonts w:ascii="Arial" w:hAnsi="Arial" w:cs="Arial"/>
          <w:noProof w:val="0"/>
          <w:color w:val="000000" w:themeColor="text1"/>
          <w:szCs w:val="22"/>
        </w:rPr>
        <w:t>daily and regularly cleaned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with disinfectant.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auto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auto"/>
          <w:sz w:val="22"/>
          <w:szCs w:val="22"/>
        </w:rPr>
        <w:t>Containers are to be cleaned and stored appropriately</w:t>
      </w:r>
      <w:r w:rsidR="00A83629">
        <w:rPr>
          <w:rStyle w:val="BODYCOPY"/>
          <w:rFonts w:ascii="Arial" w:hAnsi="Arial" w:cs="Arial"/>
          <w:noProof w:val="0"/>
          <w:color w:val="auto"/>
          <w:sz w:val="22"/>
          <w:szCs w:val="22"/>
        </w:rPr>
        <w:t xml:space="preserve"> to ensure pests are not able to contaminate them.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Children will be encouraged to be involved in food preparation to assist them to have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opportunities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to learn more about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hygiene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p</w:t>
      </w:r>
      <w:r w:rsidR="00A83629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ractices when preparing food.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This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participation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should always be supervised and </w:t>
      </w:r>
      <w:r w:rsidR="00A83629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an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explanation provided to children on the reasons why hygienic conditions are maintained.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The service will regularly review and evaluate food handling practices in line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with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current best practice guidelines from recognised authorities.</w:t>
      </w:r>
    </w:p>
    <w:p w:rsidR="009C155A" w:rsidRPr="00A83629" w:rsidRDefault="009C155A" w:rsidP="00A83629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The service will provide food handling and hygiene information to parents.</w:t>
      </w:r>
    </w:p>
    <w:p w:rsidR="00B929FC" w:rsidRPr="009C155A" w:rsidRDefault="00B929FC" w:rsidP="00A83629">
      <w:pPr>
        <w:pStyle w:val="pptext"/>
        <w:rPr>
          <w:rFonts w:ascii="Arial" w:hAnsi="Arial" w:cs="Arial"/>
          <w:noProof w:val="0"/>
          <w:color w:val="000000" w:themeColor="text1"/>
          <w:szCs w:val="22"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C135EF" w:rsidRDefault="00C135EF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C135EF" w:rsidRDefault="00C135EF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Pr="00BF2BF0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</w:rPr>
      </w:pPr>
      <w:r w:rsidRPr="00BF2BF0">
        <w:rPr>
          <w:rFonts w:ascii="Arial Black" w:hAnsi="Arial Black" w:cs="Arial"/>
          <w:color w:val="E36C0A" w:themeColor="accent6" w:themeShade="BF"/>
        </w:rPr>
        <w:lastRenderedPageBreak/>
        <w:t>CONSIDERATIONS:</w:t>
      </w:r>
    </w:p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338"/>
        <w:gridCol w:w="3060"/>
        <w:gridCol w:w="2648"/>
      </w:tblGrid>
      <w:tr w:rsidR="00E7233C" w:rsidRPr="009C155A" w:rsidTr="00E7233C">
        <w:tc>
          <w:tcPr>
            <w:tcW w:w="1470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Education and Care Services National Regulations</w:t>
            </w:r>
          </w:p>
        </w:tc>
        <w:tc>
          <w:tcPr>
            <w:tcW w:w="1338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National Quality Standard</w:t>
            </w:r>
          </w:p>
        </w:tc>
        <w:tc>
          <w:tcPr>
            <w:tcW w:w="3060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Other Service policies/documentation</w:t>
            </w:r>
          </w:p>
        </w:tc>
        <w:tc>
          <w:tcPr>
            <w:tcW w:w="2648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E7233C" w:rsidRPr="009C155A" w:rsidTr="00E7233C">
        <w:tc>
          <w:tcPr>
            <w:tcW w:w="1470" w:type="dxa"/>
            <w:shd w:val="clear" w:color="auto" w:fill="auto"/>
          </w:tcPr>
          <w:p w:rsidR="00E7233C" w:rsidRPr="00521784" w:rsidRDefault="00B761CB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r77, 78, 79, 80</w:t>
            </w:r>
          </w:p>
        </w:tc>
        <w:tc>
          <w:tcPr>
            <w:tcW w:w="1338" w:type="dxa"/>
            <w:shd w:val="clear" w:color="auto" w:fill="auto"/>
          </w:tcPr>
          <w:p w:rsidR="00E7233C" w:rsidRPr="00521784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Standa</w:t>
            </w:r>
            <w:r w:rsidR="00B761CB" w:rsidRPr="00521784">
              <w:rPr>
                <w:rFonts w:ascii="Arial" w:hAnsi="Arial" w:cs="Arial"/>
                <w:sz w:val="22"/>
                <w:szCs w:val="22"/>
              </w:rPr>
              <w:t>rd 2.1</w:t>
            </w:r>
          </w:p>
        </w:tc>
        <w:tc>
          <w:tcPr>
            <w:tcW w:w="3060" w:type="dxa"/>
            <w:shd w:val="clear" w:color="auto" w:fill="auto"/>
          </w:tcPr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Parent Handbook</w:t>
            </w:r>
          </w:p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Staff Handbook</w:t>
            </w:r>
          </w:p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8" w:hanging="428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Dealing with Infectious Diseases Policy</w:t>
            </w:r>
          </w:p>
        </w:tc>
        <w:tc>
          <w:tcPr>
            <w:tcW w:w="2648" w:type="dxa"/>
            <w:shd w:val="clear" w:color="auto" w:fill="auto"/>
          </w:tcPr>
          <w:p w:rsidR="00E7233C" w:rsidRPr="00521784" w:rsidRDefault="00E7233C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  <w:t xml:space="preserve">Australian Dietary Guidelines for children and adolescents. </w:t>
            </w:r>
          </w:p>
          <w:p w:rsidR="00E7233C" w:rsidRPr="00521784" w:rsidRDefault="00E7233C" w:rsidP="00E7233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National </w:t>
            </w:r>
            <w:hyperlink r:id="rId7" w:history="1">
              <w:r w:rsidRPr="00521784">
                <w:rPr>
                  <w:rFonts w:ascii="Arial" w:hAnsi="Arial" w:cs="Arial"/>
                  <w:i/>
                  <w:iCs/>
                  <w:color w:val="000000" w:themeColor="text1"/>
                  <w:sz w:val="22"/>
                  <w:szCs w:val="22"/>
                </w:rPr>
                <w:t>Food Standards Code (FSANZ)</w:t>
              </w:r>
            </w:hyperlink>
          </w:p>
          <w:p w:rsidR="00E7233C" w:rsidRPr="00521784" w:rsidRDefault="00577671" w:rsidP="00E7233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E7233C" w:rsidRPr="00521784">
                <w:rPr>
                  <w:rFonts w:ascii="Arial" w:hAnsi="Arial" w:cs="Arial"/>
                  <w:i/>
                  <w:iCs/>
                  <w:color w:val="000000" w:themeColor="text1"/>
                  <w:sz w:val="22"/>
                  <w:szCs w:val="22"/>
                </w:rPr>
                <w:t>Food Act 2003 (NSW)</w:t>
              </w:r>
            </w:hyperlink>
          </w:p>
          <w:p w:rsidR="00E7233C" w:rsidRPr="00521784" w:rsidRDefault="00577671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hyperlink r:id="rId9" w:history="1">
              <w:r w:rsidR="00E7233C" w:rsidRPr="00521784">
                <w:rPr>
                  <w:rFonts w:ascii="Arial" w:hAnsi="Arial" w:cs="Arial"/>
                  <w:i/>
                  <w:iCs/>
                  <w:noProof w:val="0"/>
                  <w:color w:val="000000" w:themeColor="text1"/>
                  <w:sz w:val="22"/>
                  <w:szCs w:val="22"/>
                </w:rPr>
                <w:t>Food Regulation 2010 (NSW)</w:t>
              </w:r>
            </w:hyperlink>
          </w:p>
          <w:p w:rsidR="00E7233C" w:rsidRPr="00521784" w:rsidRDefault="00E7233C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  <w:t>NRG@OOSH (Network of Community Activities)</w:t>
            </w:r>
          </w:p>
          <w:p w:rsidR="00E7233C" w:rsidRPr="00521784" w:rsidRDefault="00E7233C" w:rsidP="00E7233C">
            <w:pPr>
              <w:pStyle w:val="ListParagraph"/>
              <w:widowControl w:val="0"/>
              <w:tabs>
                <w:tab w:val="left" w:pos="342"/>
                <w:tab w:val="left" w:pos="52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Pr="009C155A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Pr="00BF2BF0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</w:rPr>
      </w:pPr>
      <w:r w:rsidRPr="00BF2BF0">
        <w:rPr>
          <w:rFonts w:ascii="Arial Black" w:hAnsi="Arial Black" w:cs="Arial"/>
          <w:color w:val="E36C0A" w:themeColor="accent6" w:themeShade="BF"/>
        </w:rPr>
        <w:t xml:space="preserve">ENDORSEMENT BY THE SERVICE: </w:t>
      </w:r>
    </w:p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7233C" w:rsidRPr="009C155A" w:rsidTr="00EA1F14">
        <w:tc>
          <w:tcPr>
            <w:tcW w:w="8897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Approval date:  _______________________________________</w:t>
            </w: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Date for Review:  ______________________________________</w:t>
            </w: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7233C" w:rsidRDefault="00E7233C" w:rsidP="00E7233C">
      <w:pPr>
        <w:pStyle w:val="ppindenttext"/>
        <w:ind w:left="0"/>
        <w:rPr>
          <w:rFonts w:ascii="Arial" w:hAnsi="Arial" w:cs="Arial"/>
          <w:noProof w:val="0"/>
          <w:color w:val="000000" w:themeColor="text1"/>
          <w:szCs w:val="22"/>
        </w:rPr>
      </w:pPr>
    </w:p>
    <w:p w:rsidR="00A83629" w:rsidRPr="00A83629" w:rsidRDefault="00A83629" w:rsidP="00B761CB">
      <w:pPr>
        <w:pStyle w:val="pptext"/>
        <w:ind w:left="720"/>
        <w:rPr>
          <w:rFonts w:ascii="Arial" w:hAnsi="Arial" w:cs="Arial"/>
          <w:noProof w:val="0"/>
          <w:color w:val="000000" w:themeColor="text1"/>
          <w:szCs w:val="24"/>
        </w:rPr>
      </w:pPr>
    </w:p>
    <w:sectPr w:rsidR="00A83629" w:rsidRPr="00A83629" w:rsidSect="00157F01">
      <w:headerReference w:type="default" r:id="rId10"/>
      <w:footerReference w:type="even" r:id="rId11"/>
      <w:footerReference w:type="default" r:id="rId12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EA" w:rsidRDefault="00875AEA" w:rsidP="00620BC8">
      <w:r>
        <w:separator/>
      </w:r>
    </w:p>
  </w:endnote>
  <w:endnote w:type="continuationSeparator" w:id="0">
    <w:p w:rsidR="00875AEA" w:rsidRDefault="00875AEA" w:rsidP="0062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Gill Sans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01" w:rsidRDefault="00C563DB" w:rsidP="00306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C2B" w:rsidRDefault="00430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01" w:rsidRPr="00157F01" w:rsidRDefault="00C563DB" w:rsidP="0030650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57F01">
      <w:rPr>
        <w:rStyle w:val="PageNumber"/>
        <w:rFonts w:ascii="Arial" w:hAnsi="Arial" w:cs="Arial"/>
      </w:rPr>
      <w:fldChar w:fldCharType="begin"/>
    </w:r>
    <w:r w:rsidR="00157F01" w:rsidRPr="00157F01">
      <w:rPr>
        <w:rStyle w:val="PageNumber"/>
        <w:rFonts w:ascii="Arial" w:hAnsi="Arial" w:cs="Arial"/>
      </w:rPr>
      <w:instrText xml:space="preserve">PAGE  </w:instrText>
    </w:r>
    <w:r w:rsidRPr="00157F01">
      <w:rPr>
        <w:rStyle w:val="PageNumber"/>
        <w:rFonts w:ascii="Arial" w:hAnsi="Arial" w:cs="Arial"/>
      </w:rPr>
      <w:fldChar w:fldCharType="separate"/>
    </w:r>
    <w:r w:rsidR="00BF2BF0">
      <w:rPr>
        <w:rStyle w:val="PageNumber"/>
        <w:rFonts w:ascii="Arial" w:hAnsi="Arial" w:cs="Arial"/>
        <w:noProof/>
      </w:rPr>
      <w:t>3</w:t>
    </w:r>
    <w:r w:rsidRPr="00157F01">
      <w:rPr>
        <w:rStyle w:val="PageNumber"/>
        <w:rFonts w:ascii="Arial" w:hAnsi="Arial" w:cs="Arial"/>
      </w:rPr>
      <w:fldChar w:fldCharType="end"/>
    </w:r>
  </w:p>
  <w:p w:rsidR="00430C2B" w:rsidRDefault="0043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EA" w:rsidRDefault="00875AEA" w:rsidP="00620BC8">
      <w:r>
        <w:separator/>
      </w:r>
    </w:p>
  </w:footnote>
  <w:footnote w:type="continuationSeparator" w:id="0">
    <w:p w:rsidR="00875AEA" w:rsidRDefault="00875AEA" w:rsidP="0062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29" w:rsidRDefault="00A83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487C"/>
    <w:multiLevelType w:val="hybridMultilevel"/>
    <w:tmpl w:val="284E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D79"/>
    <w:multiLevelType w:val="hybridMultilevel"/>
    <w:tmpl w:val="D46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75C"/>
    <w:multiLevelType w:val="hybridMultilevel"/>
    <w:tmpl w:val="73F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5084"/>
    <w:multiLevelType w:val="hybridMultilevel"/>
    <w:tmpl w:val="76541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67"/>
    <w:multiLevelType w:val="hybridMultilevel"/>
    <w:tmpl w:val="782A7A3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B1F2382"/>
    <w:multiLevelType w:val="hybridMultilevel"/>
    <w:tmpl w:val="A8D472BC"/>
    <w:lvl w:ilvl="0" w:tplc="E54889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1C"/>
    <w:rsid w:val="00157F01"/>
    <w:rsid w:val="00180277"/>
    <w:rsid w:val="003A3D1C"/>
    <w:rsid w:val="003C482E"/>
    <w:rsid w:val="00430C2B"/>
    <w:rsid w:val="00521784"/>
    <w:rsid w:val="00577671"/>
    <w:rsid w:val="00620BC8"/>
    <w:rsid w:val="00653E1F"/>
    <w:rsid w:val="00875AEA"/>
    <w:rsid w:val="009525B5"/>
    <w:rsid w:val="009C155A"/>
    <w:rsid w:val="00A83629"/>
    <w:rsid w:val="00B06789"/>
    <w:rsid w:val="00B761CB"/>
    <w:rsid w:val="00B929FC"/>
    <w:rsid w:val="00BF2BF0"/>
    <w:rsid w:val="00C135EF"/>
    <w:rsid w:val="00C563DB"/>
    <w:rsid w:val="00DA7A03"/>
    <w:rsid w:val="00E7233C"/>
    <w:rsid w:val="00E92D84"/>
    <w:rsid w:val="00EA1F14"/>
    <w:rsid w:val="00F82FE0"/>
    <w:rsid w:val="00FB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578FBC7-D110-40BD-BCBA-928476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1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indenttext">
    <w:name w:val="pp indent text"/>
    <w:rsid w:val="003A3D1C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 w:val="22"/>
      <w:szCs w:val="20"/>
    </w:rPr>
  </w:style>
  <w:style w:type="paragraph" w:customStyle="1" w:styleId="pptext">
    <w:name w:val="pp text"/>
    <w:rsid w:val="003A3D1C"/>
    <w:pPr>
      <w:spacing w:line="320" w:lineRule="atLeast"/>
    </w:pPr>
    <w:rPr>
      <w:rFonts w:ascii="T VAG Rounded Thin" w:eastAsia="Times New Roman" w:hAnsi="T VAG Rounded Thin" w:cs="Times New Roman"/>
      <w:noProof/>
      <w:szCs w:val="20"/>
    </w:rPr>
  </w:style>
  <w:style w:type="paragraph" w:customStyle="1" w:styleId="pphead2">
    <w:name w:val="pp head 2"/>
    <w:rsid w:val="003A3D1C"/>
    <w:pPr>
      <w:spacing w:before="170" w:after="57"/>
    </w:pPr>
    <w:rPr>
      <w:rFonts w:ascii="Charcoal" w:eastAsia="Times New Roman" w:hAnsi="Charcoal" w:cs="Times New Roman"/>
      <w:noProof/>
      <w:sz w:val="28"/>
      <w:szCs w:val="20"/>
    </w:rPr>
  </w:style>
  <w:style w:type="paragraph" w:customStyle="1" w:styleId="pphead1">
    <w:name w:val="pp head 1"/>
    <w:rsid w:val="003A3D1C"/>
    <w:pPr>
      <w:pageBreakBefore/>
    </w:pPr>
    <w:rPr>
      <w:rFonts w:ascii="Charcoal" w:eastAsia="Times New Roman" w:hAnsi="Charcoal" w:cs="Times New Roman"/>
      <w:noProof/>
      <w:color w:val="000000"/>
      <w:sz w:val="42"/>
      <w:szCs w:val="20"/>
    </w:rPr>
  </w:style>
  <w:style w:type="character" w:customStyle="1" w:styleId="BODYCOPY">
    <w:name w:val="BODY COPY"/>
    <w:rsid w:val="003A3D1C"/>
    <w:rPr>
      <w:rFonts w:ascii="Gill Sans" w:hAnsi="Gill Sans"/>
      <w:color w:val="000000"/>
      <w:spacing w:val="0"/>
      <w:sz w:val="24"/>
      <w:vertAlign w:val="baseline"/>
    </w:rPr>
  </w:style>
  <w:style w:type="character" w:customStyle="1" w:styleId="SMALLSUBHEADER">
    <w:name w:val="SMALL SUBHEADER"/>
    <w:rsid w:val="003A3D1C"/>
    <w:rPr>
      <w:rFonts w:ascii="Gill Sans" w:hAnsi="Gill Sans"/>
      <w:b/>
      <w:caps/>
      <w:color w:val="000000"/>
      <w:spacing w:val="0"/>
      <w:sz w:val="22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E7233C"/>
    <w:pPr>
      <w:ind w:left="720"/>
      <w:contextualSpacing/>
    </w:pPr>
    <w:rPr>
      <w:rFonts w:ascii="Cambria" w:eastAsia="MS Mincho" w:hAnsi="Cambria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viewtop/inforce/act+43+2003+FIRST+0+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standards.gov.au/theco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odauthority.nsw.gov.au/industry/food-standards-and-requirements/legislation/foodregu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4954</Characters>
  <Application>Microsoft Office Word</Application>
  <DocSecurity>4</DocSecurity>
  <Lines>133</Lines>
  <Paragraphs>48</Paragraphs>
  <ScaleCrop>false</ScaleCrop>
  <Company>network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monro miler</dc:creator>
  <cp:lastModifiedBy>Tim Baxter</cp:lastModifiedBy>
  <cp:revision>2</cp:revision>
  <dcterms:created xsi:type="dcterms:W3CDTF">2019-08-09T04:46:00Z</dcterms:created>
  <dcterms:modified xsi:type="dcterms:W3CDTF">2019-08-09T04:46:00Z</dcterms:modified>
</cp:coreProperties>
</file>